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425AA4" w14:textId="77777777" w:rsidR="00F0659E" w:rsidRDefault="00593889">
      <w:pPr>
        <w:pStyle w:val="Retraitcorpsdetexte"/>
        <w:ind w:left="1276"/>
        <w:jc w:val="left"/>
        <w:rPr>
          <w:rFonts w:ascii="Calibri" w:eastAsia="Calibri" w:hAnsi="Calibri" w:cs="Calibri"/>
          <w:b w:val="0"/>
          <w:bCs w:val="0"/>
          <w:color w:val="FF0000"/>
          <w:sz w:val="10"/>
          <w:szCs w:val="10"/>
          <w:u w:color="FF0000"/>
        </w:rPr>
      </w:pPr>
      <w:r>
        <w:rPr>
          <w:noProof/>
        </w:rPr>
        <w:drawing>
          <wp:anchor distT="57150" distB="57150" distL="57150" distR="57150" simplePos="0" relativeHeight="251659264" behindDoc="1" locked="0" layoutInCell="1" allowOverlap="1">
            <wp:simplePos x="0" y="0"/>
            <wp:positionH relativeFrom="margin">
              <wp:align>center</wp:align>
            </wp:positionH>
            <wp:positionV relativeFrom="line">
              <wp:posOffset>-215900</wp:posOffset>
            </wp:positionV>
            <wp:extent cx="7041600" cy="2221200"/>
            <wp:effectExtent l="0" t="0" r="6985" b="825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CHO NEGO inter.jpeg"/>
                    <pic:cNvPicPr>
                      <a:picLocks noChangeAspect="1"/>
                    </pic:cNvPicPr>
                  </pic:nvPicPr>
                  <pic:blipFill>
                    <a:blip r:embed="rId7">
                      <a:extLst/>
                    </a:blip>
                    <a:stretch>
                      <a:fillRect/>
                    </a:stretch>
                  </pic:blipFill>
                  <pic:spPr>
                    <a:xfrm>
                      <a:off x="0" y="0"/>
                      <a:ext cx="7041600" cy="2221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D9C43B0" w14:textId="77777777" w:rsidR="00711106" w:rsidRDefault="00711106">
      <w:pPr>
        <w:jc w:val="both"/>
        <w:rPr>
          <w:rFonts w:ascii="Arial Black" w:hAnsi="Arial Black"/>
          <w:color w:val="FF0000"/>
          <w:sz w:val="36"/>
          <w:szCs w:val="36"/>
          <w:u w:color="FF0000"/>
        </w:rPr>
      </w:pPr>
    </w:p>
    <w:p w14:paraId="3EDD5F06" w14:textId="77777777" w:rsidR="00711106" w:rsidRDefault="00711106">
      <w:pPr>
        <w:jc w:val="both"/>
        <w:rPr>
          <w:rFonts w:ascii="Arial Black" w:hAnsi="Arial Black"/>
          <w:color w:val="FF0000"/>
          <w:sz w:val="36"/>
          <w:szCs w:val="36"/>
          <w:u w:color="FF0000"/>
        </w:rPr>
      </w:pPr>
    </w:p>
    <w:p w14:paraId="4D9349D6" w14:textId="77777777" w:rsidR="00711106" w:rsidRDefault="00711106">
      <w:pPr>
        <w:jc w:val="both"/>
        <w:rPr>
          <w:rFonts w:ascii="Arial Black" w:hAnsi="Arial Black"/>
          <w:color w:val="FF0000"/>
          <w:sz w:val="36"/>
          <w:szCs w:val="36"/>
          <w:u w:color="FF0000"/>
        </w:rPr>
      </w:pPr>
    </w:p>
    <w:p w14:paraId="26847CB9" w14:textId="77777777" w:rsidR="00711106" w:rsidRDefault="00711106">
      <w:pPr>
        <w:jc w:val="both"/>
        <w:rPr>
          <w:rFonts w:ascii="Arial Black" w:hAnsi="Arial Black"/>
          <w:color w:val="FF0000"/>
          <w:sz w:val="36"/>
          <w:szCs w:val="36"/>
          <w:u w:color="FF0000"/>
        </w:rPr>
      </w:pPr>
    </w:p>
    <w:p w14:paraId="43B180DA" w14:textId="77777777" w:rsidR="00711106" w:rsidRDefault="00711106">
      <w:pPr>
        <w:jc w:val="both"/>
        <w:rPr>
          <w:rFonts w:ascii="Arial Black" w:hAnsi="Arial Black"/>
          <w:color w:val="FF0000"/>
          <w:sz w:val="36"/>
          <w:szCs w:val="36"/>
          <w:u w:color="FF0000"/>
        </w:rPr>
      </w:pPr>
    </w:p>
    <w:p w14:paraId="0BA8F527" w14:textId="77777777" w:rsidR="00711106" w:rsidRDefault="00711106">
      <w:pPr>
        <w:jc w:val="both"/>
        <w:rPr>
          <w:rFonts w:ascii="Arial Black" w:hAnsi="Arial Black"/>
          <w:color w:val="FF0000"/>
          <w:sz w:val="36"/>
          <w:szCs w:val="36"/>
          <w:u w:color="FF0000"/>
        </w:rPr>
      </w:pPr>
    </w:p>
    <w:p w14:paraId="6BD1975B" w14:textId="77777777" w:rsidR="00711106" w:rsidRDefault="00711106">
      <w:pPr>
        <w:jc w:val="both"/>
        <w:rPr>
          <w:rFonts w:ascii="Arial Black" w:hAnsi="Arial Black"/>
          <w:color w:val="FF0000"/>
          <w:sz w:val="36"/>
          <w:szCs w:val="36"/>
          <w:u w:color="FF0000"/>
        </w:rPr>
      </w:pPr>
    </w:p>
    <w:p w14:paraId="62A8751E" w14:textId="77777777" w:rsidR="00F0659E" w:rsidRDefault="00593889">
      <w:pPr>
        <w:jc w:val="both"/>
        <w:rPr>
          <w:rFonts w:ascii="Arial Black" w:eastAsia="Arial Black" w:hAnsi="Arial Black" w:cs="Arial Black"/>
          <w:color w:val="FF0000"/>
          <w:sz w:val="36"/>
          <w:szCs w:val="36"/>
          <w:u w:color="FF0000"/>
        </w:rPr>
      </w:pPr>
      <w:r>
        <w:rPr>
          <w:rFonts w:ascii="Arial Black" w:hAnsi="Arial Black"/>
          <w:color w:val="FF0000"/>
          <w:sz w:val="36"/>
          <w:szCs w:val="36"/>
          <w:u w:color="FF0000"/>
        </w:rPr>
        <w:t>N</w:t>
      </w:r>
      <w:r>
        <w:rPr>
          <w:rFonts w:ascii="Arial Black" w:hAnsi="Arial Black"/>
          <w:color w:val="FF0000"/>
          <w:sz w:val="36"/>
          <w:szCs w:val="36"/>
          <w:u w:color="FF0000"/>
        </w:rPr>
        <w:t xml:space="preserve">° </w:t>
      </w:r>
      <w:r>
        <w:rPr>
          <w:rFonts w:ascii="Arial Black" w:hAnsi="Arial Black"/>
          <w:color w:val="FF0000"/>
          <w:sz w:val="36"/>
          <w:szCs w:val="36"/>
          <w:u w:color="FF0000"/>
        </w:rPr>
        <w:t xml:space="preserve">3. </w:t>
      </w:r>
      <w:r w:rsidR="00242DF2">
        <w:rPr>
          <w:rFonts w:ascii="Arial Black" w:hAnsi="Arial Black"/>
          <w:color w:val="FF0000"/>
          <w:sz w:val="36"/>
          <w:szCs w:val="36"/>
          <w:u w:color="FF0000"/>
        </w:rPr>
        <w:t xml:space="preserve">Continuons à défendre l’accord de 2016 et </w:t>
      </w:r>
      <w:r w:rsidR="00711106">
        <w:rPr>
          <w:rFonts w:ascii="Arial Black" w:hAnsi="Arial Black"/>
          <w:color w:val="FF0000"/>
          <w:sz w:val="36"/>
          <w:szCs w:val="36"/>
          <w:u w:color="FF0000"/>
        </w:rPr>
        <w:t xml:space="preserve">obtenons </w:t>
      </w:r>
      <w:r w:rsidR="00242DF2">
        <w:rPr>
          <w:rFonts w:ascii="Arial Black" w:hAnsi="Arial Black"/>
          <w:color w:val="FF0000"/>
          <w:sz w:val="36"/>
          <w:szCs w:val="36"/>
          <w:u w:color="FF0000"/>
        </w:rPr>
        <w:t>sa juste application</w:t>
      </w:r>
      <w:r w:rsidR="00711106">
        <w:rPr>
          <w:rFonts w:ascii="Arial Black" w:hAnsi="Arial Black"/>
          <w:color w:val="FF0000"/>
          <w:sz w:val="36"/>
          <w:szCs w:val="36"/>
          <w:u w:color="FF0000"/>
        </w:rPr>
        <w:t> !</w:t>
      </w:r>
    </w:p>
    <w:p w14:paraId="73A1F1DD" w14:textId="77777777" w:rsidR="00F0659E" w:rsidRPr="00711106" w:rsidRDefault="00F0659E">
      <w:pPr>
        <w:pStyle w:val="Standard"/>
        <w:jc w:val="both"/>
        <w:rPr>
          <w:rFonts w:ascii="Calibri" w:eastAsia="Calibri" w:hAnsi="Calibri" w:cs="Calibri"/>
          <w:sz w:val="22"/>
          <w:szCs w:val="22"/>
        </w:rPr>
      </w:pPr>
    </w:p>
    <w:p w14:paraId="26C88FB1" w14:textId="77777777" w:rsidR="00F0659E" w:rsidRPr="00711106" w:rsidRDefault="00593889" w:rsidP="00711106">
      <w:pPr>
        <w:pStyle w:val="Standard"/>
        <w:jc w:val="both"/>
        <w:rPr>
          <w:rFonts w:ascii="Calibri" w:eastAsia="Calibri" w:hAnsi="Calibri" w:cs="Calibri"/>
          <w:sz w:val="22"/>
          <w:szCs w:val="22"/>
        </w:rPr>
      </w:pPr>
      <w:r w:rsidRPr="00711106">
        <w:rPr>
          <w:rFonts w:ascii="Calibri" w:eastAsia="Calibri" w:hAnsi="Calibri" w:cs="Calibri"/>
          <w:sz w:val="22"/>
          <w:szCs w:val="22"/>
        </w:rPr>
        <w:t>La troisième réunion de négociation sur le régime d’indemnisation chômage spécifique des artistes et des techniciens intermittents du spectacle s’est déroulée jeudi 17 janvier. Répondant à l’appel de la CGT spectacle, de la FASAP-FO et d’</w:t>
      </w:r>
      <w:r w:rsidRPr="00711106">
        <w:rPr>
          <w:rFonts w:ascii="Calibri" w:eastAsia="Calibri" w:hAnsi="Calibri" w:cs="Calibri"/>
          <w:sz w:val="22"/>
          <w:szCs w:val="22"/>
        </w:rPr>
        <w:t xml:space="preserve">associations professionnelles, les manifestants se sont réunis devant le Conseil économique, social et environnemental. </w:t>
      </w:r>
    </w:p>
    <w:p w14:paraId="773D3C0F" w14:textId="77777777" w:rsidR="00F0659E" w:rsidRPr="00711106" w:rsidRDefault="00F0659E" w:rsidP="00711106">
      <w:pPr>
        <w:pStyle w:val="Standard"/>
        <w:jc w:val="both"/>
        <w:rPr>
          <w:rFonts w:ascii="Calibri" w:hAnsi="Calibri" w:cs="Calibri"/>
          <w:sz w:val="22"/>
          <w:szCs w:val="22"/>
        </w:rPr>
      </w:pPr>
    </w:p>
    <w:p w14:paraId="03360596" w14:textId="77777777" w:rsidR="00F0659E" w:rsidRPr="00711106" w:rsidRDefault="00593889" w:rsidP="00711106">
      <w:pPr>
        <w:pStyle w:val="Standard"/>
        <w:jc w:val="both"/>
        <w:rPr>
          <w:rFonts w:ascii="Calibri" w:eastAsia="Calibri" w:hAnsi="Calibri" w:cs="Calibri"/>
          <w:sz w:val="22"/>
          <w:szCs w:val="22"/>
        </w:rPr>
      </w:pPr>
      <w:r w:rsidRPr="00711106">
        <w:rPr>
          <w:rFonts w:ascii="Calibri" w:eastAsia="Calibri" w:hAnsi="Calibri" w:cs="Calibri"/>
          <w:sz w:val="22"/>
          <w:szCs w:val="22"/>
        </w:rPr>
        <w:t>L</w:t>
      </w:r>
      <w:r w:rsidR="00BD60D0" w:rsidRPr="00711106">
        <w:rPr>
          <w:rFonts w:ascii="Calibri" w:eastAsia="Calibri" w:hAnsi="Calibri" w:cs="Calibri"/>
          <w:sz w:val="22"/>
          <w:szCs w:val="22"/>
        </w:rPr>
        <w:t>ors de la séance de négociation, l</w:t>
      </w:r>
      <w:r w:rsidRPr="00711106">
        <w:rPr>
          <w:rFonts w:ascii="Calibri" w:eastAsia="Calibri" w:hAnsi="Calibri" w:cs="Calibri"/>
          <w:sz w:val="22"/>
          <w:szCs w:val="22"/>
        </w:rPr>
        <w:t xml:space="preserve">a </w:t>
      </w:r>
      <w:r w:rsidR="00BD60D0" w:rsidRPr="00711106">
        <w:rPr>
          <w:rFonts w:ascii="Calibri" w:eastAsia="Calibri" w:hAnsi="Calibri" w:cs="Calibri"/>
          <w:sz w:val="22"/>
          <w:szCs w:val="22"/>
        </w:rPr>
        <w:t>F</w:t>
      </w:r>
      <w:r w:rsidRPr="00711106">
        <w:rPr>
          <w:rFonts w:ascii="Calibri" w:eastAsia="Calibri" w:hAnsi="Calibri" w:cs="Calibri"/>
          <w:sz w:val="22"/>
          <w:szCs w:val="22"/>
        </w:rPr>
        <w:t xml:space="preserve">édération CGT du </w:t>
      </w:r>
      <w:r w:rsidR="00BD60D0" w:rsidRPr="00711106">
        <w:rPr>
          <w:rFonts w:ascii="Calibri" w:eastAsia="Calibri" w:hAnsi="Calibri" w:cs="Calibri"/>
          <w:sz w:val="22"/>
          <w:szCs w:val="22"/>
        </w:rPr>
        <w:t>S</w:t>
      </w:r>
      <w:r w:rsidRPr="00711106">
        <w:rPr>
          <w:rFonts w:ascii="Calibri" w:eastAsia="Calibri" w:hAnsi="Calibri" w:cs="Calibri"/>
          <w:sz w:val="22"/>
          <w:szCs w:val="22"/>
        </w:rPr>
        <w:t>pectacle a posé</w:t>
      </w:r>
      <w:r w:rsidR="00BD60D0" w:rsidRPr="00711106">
        <w:rPr>
          <w:rFonts w:ascii="Calibri" w:eastAsia="Calibri" w:hAnsi="Calibri" w:cs="Calibri"/>
          <w:sz w:val="22"/>
          <w:szCs w:val="22"/>
        </w:rPr>
        <w:t xml:space="preserve"> sur la table</w:t>
      </w:r>
      <w:r w:rsidRPr="00711106">
        <w:rPr>
          <w:rFonts w:ascii="Calibri" w:eastAsia="Calibri" w:hAnsi="Calibri" w:cs="Calibri"/>
          <w:sz w:val="22"/>
          <w:szCs w:val="22"/>
        </w:rPr>
        <w:t xml:space="preserve"> un projet de lettre commune demandant</w:t>
      </w:r>
      <w:r w:rsidR="00BD60D0" w:rsidRPr="00711106">
        <w:rPr>
          <w:rFonts w:ascii="Calibri" w:eastAsia="Calibri" w:hAnsi="Calibri" w:cs="Calibri"/>
          <w:sz w:val="22"/>
          <w:szCs w:val="22"/>
        </w:rPr>
        <w:t xml:space="preserve"> </w:t>
      </w:r>
      <w:r w:rsidRPr="00711106">
        <w:rPr>
          <w:rFonts w:ascii="Calibri" w:eastAsia="Calibri" w:hAnsi="Calibri" w:cs="Calibri"/>
          <w:sz w:val="22"/>
          <w:szCs w:val="22"/>
        </w:rPr>
        <w:t xml:space="preserve">: </w:t>
      </w:r>
    </w:p>
    <w:p w14:paraId="4A8101F7" w14:textId="77777777" w:rsidR="00F0659E" w:rsidRPr="00711106" w:rsidRDefault="00BD60D0" w:rsidP="00711106">
      <w:pPr>
        <w:pStyle w:val="Standard"/>
        <w:numPr>
          <w:ilvl w:val="0"/>
          <w:numId w:val="2"/>
        </w:numPr>
        <w:jc w:val="both"/>
        <w:rPr>
          <w:rFonts w:ascii="Calibri" w:hAnsi="Calibri" w:cs="Calibri"/>
          <w:sz w:val="22"/>
          <w:szCs w:val="22"/>
        </w:rPr>
      </w:pPr>
      <w:r w:rsidRPr="00711106">
        <w:rPr>
          <w:rFonts w:ascii="Calibri" w:eastAsia="Calibri" w:hAnsi="Calibri" w:cs="Calibri"/>
          <w:sz w:val="22"/>
          <w:szCs w:val="22"/>
        </w:rPr>
        <w:t>L</w:t>
      </w:r>
      <w:r w:rsidR="00593889" w:rsidRPr="00711106">
        <w:rPr>
          <w:rFonts w:ascii="Calibri" w:eastAsia="Calibri" w:hAnsi="Calibri" w:cs="Calibri"/>
          <w:sz w:val="22"/>
          <w:szCs w:val="22"/>
        </w:rPr>
        <w:t>a prorogation de l’accord de 2016</w:t>
      </w:r>
      <w:r w:rsidRPr="00711106">
        <w:rPr>
          <w:rFonts w:ascii="Calibri" w:eastAsia="Calibri" w:hAnsi="Calibri" w:cs="Calibri"/>
          <w:sz w:val="22"/>
          <w:szCs w:val="22"/>
        </w:rPr>
        <w:t xml:space="preserve"> </w:t>
      </w:r>
      <w:r w:rsidR="00593889" w:rsidRPr="00711106">
        <w:rPr>
          <w:rFonts w:ascii="Calibri" w:eastAsia="Calibri" w:hAnsi="Calibri" w:cs="Calibri"/>
          <w:sz w:val="22"/>
          <w:szCs w:val="22"/>
        </w:rPr>
        <w:t>;</w:t>
      </w:r>
    </w:p>
    <w:p w14:paraId="52353C98" w14:textId="77777777" w:rsidR="00BD60D0" w:rsidRPr="00711106" w:rsidRDefault="00593889" w:rsidP="00711106">
      <w:pPr>
        <w:pStyle w:val="Standard"/>
        <w:numPr>
          <w:ilvl w:val="0"/>
          <w:numId w:val="2"/>
        </w:numPr>
        <w:jc w:val="both"/>
        <w:rPr>
          <w:rFonts w:ascii="Calibri" w:hAnsi="Calibri" w:cs="Calibri"/>
          <w:sz w:val="22"/>
          <w:szCs w:val="22"/>
        </w:rPr>
      </w:pPr>
      <w:r w:rsidRPr="00711106">
        <w:rPr>
          <w:rFonts w:ascii="Calibri" w:eastAsia="Calibri" w:hAnsi="Calibri" w:cs="Calibri"/>
          <w:sz w:val="22"/>
          <w:szCs w:val="22"/>
        </w:rPr>
        <w:t>La correction de cer</w:t>
      </w:r>
      <w:r w:rsidRPr="00711106">
        <w:rPr>
          <w:rFonts w:ascii="Calibri" w:eastAsia="Calibri" w:hAnsi="Calibri" w:cs="Calibri"/>
          <w:sz w:val="22"/>
          <w:szCs w:val="22"/>
        </w:rPr>
        <w:t xml:space="preserve">taines mesures de l’accord de 2016 </w:t>
      </w:r>
      <w:r w:rsidRPr="00711106">
        <w:rPr>
          <w:rFonts w:ascii="Calibri" w:eastAsia="Calibri" w:hAnsi="Calibri" w:cs="Calibri"/>
          <w:sz w:val="22"/>
          <w:szCs w:val="22"/>
        </w:rPr>
        <w:t>qui ont été mal transposées dans la réglementation par l’UNEDIC</w:t>
      </w:r>
      <w:r w:rsidR="00BD60D0" w:rsidRPr="00711106">
        <w:rPr>
          <w:rFonts w:ascii="Calibri" w:eastAsia="Calibri" w:hAnsi="Calibri" w:cs="Calibri"/>
          <w:sz w:val="22"/>
          <w:szCs w:val="22"/>
        </w:rPr>
        <w:t xml:space="preserve"> </w:t>
      </w:r>
      <w:r w:rsidRPr="00711106">
        <w:rPr>
          <w:rFonts w:ascii="Calibri" w:eastAsia="Calibri" w:hAnsi="Calibri" w:cs="Calibri"/>
          <w:sz w:val="22"/>
          <w:szCs w:val="22"/>
        </w:rPr>
        <w:t xml:space="preserve">: </w:t>
      </w:r>
      <w:r w:rsidR="00BD60D0" w:rsidRPr="00711106">
        <w:rPr>
          <w:rFonts w:ascii="Calibri" w:eastAsia="Calibri" w:hAnsi="Calibri" w:cs="Calibri"/>
          <w:sz w:val="22"/>
          <w:szCs w:val="22"/>
        </w:rPr>
        <w:t xml:space="preserve">la </w:t>
      </w:r>
      <w:r w:rsidRPr="00711106">
        <w:rPr>
          <w:rFonts w:ascii="Calibri" w:eastAsia="Calibri" w:hAnsi="Calibri" w:cs="Calibri"/>
          <w:sz w:val="22"/>
          <w:szCs w:val="22"/>
        </w:rPr>
        <w:t>prise en compte des arrêts maladie</w:t>
      </w:r>
      <w:r w:rsidR="00711106">
        <w:rPr>
          <w:rFonts w:ascii="Calibri" w:eastAsia="Calibri" w:hAnsi="Calibri" w:cs="Calibri"/>
          <w:sz w:val="22"/>
          <w:szCs w:val="22"/>
        </w:rPr>
        <w:t xml:space="preserve"> et</w:t>
      </w:r>
      <w:r w:rsidR="00BD60D0" w:rsidRPr="00711106">
        <w:rPr>
          <w:rFonts w:ascii="Calibri" w:eastAsia="Calibri" w:hAnsi="Calibri" w:cs="Calibri"/>
          <w:sz w:val="22"/>
          <w:szCs w:val="22"/>
        </w:rPr>
        <w:t xml:space="preserve"> les </w:t>
      </w:r>
      <w:r w:rsidRPr="00711106">
        <w:rPr>
          <w:rFonts w:ascii="Calibri" w:eastAsia="Calibri" w:hAnsi="Calibri" w:cs="Calibri"/>
          <w:sz w:val="22"/>
          <w:szCs w:val="22"/>
        </w:rPr>
        <w:t>modalité</w:t>
      </w:r>
      <w:r w:rsidR="00BD60D0" w:rsidRPr="00711106">
        <w:rPr>
          <w:rFonts w:ascii="Calibri" w:eastAsia="Calibri" w:hAnsi="Calibri" w:cs="Calibri"/>
          <w:sz w:val="22"/>
          <w:szCs w:val="22"/>
        </w:rPr>
        <w:t>s</w:t>
      </w:r>
      <w:r w:rsidRPr="00711106">
        <w:rPr>
          <w:rFonts w:ascii="Calibri" w:eastAsia="Calibri" w:hAnsi="Calibri" w:cs="Calibri"/>
          <w:sz w:val="22"/>
          <w:szCs w:val="22"/>
        </w:rPr>
        <w:t xml:space="preserve"> d’écoulement des franchise</w:t>
      </w:r>
      <w:r w:rsidR="00711106">
        <w:rPr>
          <w:rFonts w:ascii="Calibri" w:eastAsia="Calibri" w:hAnsi="Calibri" w:cs="Calibri"/>
          <w:sz w:val="22"/>
          <w:szCs w:val="22"/>
        </w:rPr>
        <w:t>s ;</w:t>
      </w:r>
      <w:r w:rsidR="00BD60D0" w:rsidRPr="00711106">
        <w:rPr>
          <w:rFonts w:ascii="Calibri" w:eastAsia="Calibri" w:hAnsi="Calibri" w:cs="Calibri"/>
          <w:sz w:val="22"/>
          <w:szCs w:val="22"/>
        </w:rPr>
        <w:t xml:space="preserve"> </w:t>
      </w:r>
      <w:r w:rsidRPr="00711106">
        <w:rPr>
          <w:rFonts w:ascii="Calibri" w:eastAsia="Calibri" w:hAnsi="Calibri" w:cs="Calibri"/>
          <w:sz w:val="22"/>
          <w:szCs w:val="22"/>
        </w:rPr>
        <w:t xml:space="preserve"> </w:t>
      </w:r>
    </w:p>
    <w:p w14:paraId="5F627838" w14:textId="77777777" w:rsidR="00F0659E" w:rsidRPr="00711106" w:rsidRDefault="00BD60D0" w:rsidP="00711106">
      <w:pPr>
        <w:pStyle w:val="Standard"/>
        <w:numPr>
          <w:ilvl w:val="0"/>
          <w:numId w:val="2"/>
        </w:numPr>
        <w:jc w:val="both"/>
        <w:rPr>
          <w:rFonts w:ascii="Calibri" w:hAnsi="Calibri" w:cs="Calibri"/>
          <w:sz w:val="22"/>
          <w:szCs w:val="22"/>
        </w:rPr>
      </w:pPr>
      <w:r w:rsidRPr="00711106">
        <w:rPr>
          <w:rFonts w:ascii="Calibri" w:hAnsi="Calibri" w:cs="Calibri"/>
          <w:sz w:val="22"/>
          <w:szCs w:val="22"/>
        </w:rPr>
        <w:t xml:space="preserve">Des mesures d’adaptation afin de rendre l’accord de 2016 conforme aux nouvelles lois : </w:t>
      </w:r>
      <w:r w:rsidR="00593889" w:rsidRPr="00711106">
        <w:rPr>
          <w:rFonts w:ascii="Calibri" w:eastAsia="Calibri" w:hAnsi="Calibri" w:cs="Calibri"/>
          <w:sz w:val="22"/>
          <w:szCs w:val="22"/>
        </w:rPr>
        <w:t>la mise en pl</w:t>
      </w:r>
      <w:r w:rsidR="00593889" w:rsidRPr="00711106">
        <w:rPr>
          <w:rFonts w:ascii="Calibri" w:eastAsia="Calibri" w:hAnsi="Calibri" w:cs="Calibri"/>
          <w:sz w:val="22"/>
          <w:szCs w:val="22"/>
        </w:rPr>
        <w:t>ace du CPF de transition</w:t>
      </w:r>
      <w:r w:rsidRPr="00711106">
        <w:rPr>
          <w:rFonts w:ascii="Calibri" w:eastAsia="Calibri" w:hAnsi="Calibri" w:cs="Calibri"/>
          <w:sz w:val="22"/>
          <w:szCs w:val="22"/>
        </w:rPr>
        <w:t xml:space="preserve"> en remplacement du CIF</w:t>
      </w:r>
      <w:r w:rsidR="00593889" w:rsidRPr="00711106">
        <w:rPr>
          <w:rFonts w:ascii="Calibri" w:eastAsia="Calibri" w:hAnsi="Calibri" w:cs="Calibri"/>
          <w:sz w:val="22"/>
          <w:szCs w:val="22"/>
        </w:rPr>
        <w:t xml:space="preserve">, </w:t>
      </w:r>
      <w:r w:rsidRPr="00711106">
        <w:rPr>
          <w:rFonts w:ascii="Calibri" w:eastAsia="Calibri" w:hAnsi="Calibri" w:cs="Calibri"/>
          <w:sz w:val="22"/>
          <w:szCs w:val="22"/>
        </w:rPr>
        <w:t xml:space="preserve">les </w:t>
      </w:r>
      <w:r w:rsidR="00593889" w:rsidRPr="00711106">
        <w:rPr>
          <w:rFonts w:ascii="Calibri" w:eastAsia="Calibri" w:hAnsi="Calibri" w:cs="Calibri"/>
          <w:sz w:val="22"/>
          <w:szCs w:val="22"/>
        </w:rPr>
        <w:t>mesures</w:t>
      </w:r>
      <w:r w:rsidRPr="00711106">
        <w:rPr>
          <w:rFonts w:ascii="Calibri" w:eastAsia="Calibri" w:hAnsi="Calibri" w:cs="Calibri"/>
          <w:sz w:val="22"/>
          <w:szCs w:val="22"/>
        </w:rPr>
        <w:t xml:space="preserve"> à venir</w:t>
      </w:r>
      <w:r w:rsidR="00593889" w:rsidRPr="00711106">
        <w:rPr>
          <w:rFonts w:ascii="Calibri" w:eastAsia="Calibri" w:hAnsi="Calibri" w:cs="Calibri"/>
          <w:sz w:val="22"/>
          <w:szCs w:val="22"/>
        </w:rPr>
        <w:t xml:space="preserve"> pour anticiper</w:t>
      </w:r>
      <w:r w:rsidRPr="00711106">
        <w:rPr>
          <w:rFonts w:ascii="Calibri" w:eastAsia="Calibri" w:hAnsi="Calibri" w:cs="Calibri"/>
          <w:sz w:val="22"/>
          <w:szCs w:val="22"/>
        </w:rPr>
        <w:t xml:space="preserve"> </w:t>
      </w:r>
      <w:r w:rsidR="00593889" w:rsidRPr="00711106">
        <w:rPr>
          <w:rFonts w:ascii="Calibri" w:eastAsia="Calibri" w:hAnsi="Calibri" w:cs="Calibri"/>
          <w:sz w:val="22"/>
          <w:szCs w:val="22"/>
        </w:rPr>
        <w:t xml:space="preserve">le rapprochement de conventions collectives, </w:t>
      </w:r>
      <w:r w:rsidRPr="00711106">
        <w:rPr>
          <w:rFonts w:ascii="Calibri" w:eastAsia="Calibri" w:hAnsi="Calibri" w:cs="Calibri"/>
          <w:sz w:val="22"/>
          <w:szCs w:val="22"/>
        </w:rPr>
        <w:t>l’</w:t>
      </w:r>
      <w:r w:rsidR="00593889" w:rsidRPr="00711106">
        <w:rPr>
          <w:rFonts w:ascii="Calibri" w:eastAsia="Calibri" w:hAnsi="Calibri" w:cs="Calibri"/>
          <w:sz w:val="22"/>
          <w:szCs w:val="22"/>
        </w:rPr>
        <w:t>assimilation du congé paternité au congé maternité pour le calcul de l’affiliation.</w:t>
      </w:r>
    </w:p>
    <w:p w14:paraId="5FAAF6DA" w14:textId="77777777" w:rsidR="00F0659E" w:rsidRPr="00711106" w:rsidRDefault="00F0659E" w:rsidP="00711106">
      <w:pPr>
        <w:pStyle w:val="Standard"/>
        <w:jc w:val="both"/>
        <w:rPr>
          <w:rFonts w:ascii="Calibri" w:eastAsia="Calibri" w:hAnsi="Calibri" w:cs="Calibri"/>
          <w:sz w:val="22"/>
          <w:szCs w:val="22"/>
        </w:rPr>
      </w:pPr>
    </w:p>
    <w:p w14:paraId="3CCCE25C" w14:textId="77777777" w:rsidR="00BD60D0" w:rsidRPr="00711106" w:rsidRDefault="00593889" w:rsidP="00711106">
      <w:pPr>
        <w:pStyle w:val="Standard"/>
        <w:jc w:val="both"/>
        <w:rPr>
          <w:rFonts w:ascii="Calibri" w:eastAsia="Calibri" w:hAnsi="Calibri" w:cs="Calibri"/>
          <w:color w:val="auto"/>
          <w:sz w:val="22"/>
          <w:szCs w:val="22"/>
        </w:rPr>
      </w:pPr>
      <w:r w:rsidRPr="00711106">
        <w:rPr>
          <w:rFonts w:ascii="Calibri" w:eastAsia="Calibri" w:hAnsi="Calibri" w:cs="Calibri"/>
          <w:color w:val="auto"/>
          <w:sz w:val="22"/>
          <w:szCs w:val="22"/>
        </w:rPr>
        <w:t xml:space="preserve">La fédération patronale (FESAC) a proposé, quant </w:t>
      </w:r>
      <w:r w:rsidR="00BD60D0" w:rsidRPr="00711106">
        <w:rPr>
          <w:rFonts w:ascii="Calibri" w:eastAsia="Calibri" w:hAnsi="Calibri" w:cs="Calibri"/>
          <w:color w:val="auto"/>
          <w:sz w:val="22"/>
          <w:szCs w:val="22"/>
        </w:rPr>
        <w:t>à</w:t>
      </w:r>
      <w:r w:rsidRPr="00711106">
        <w:rPr>
          <w:rFonts w:ascii="Calibri" w:eastAsia="Calibri" w:hAnsi="Calibri" w:cs="Calibri"/>
          <w:color w:val="auto"/>
          <w:sz w:val="22"/>
          <w:szCs w:val="22"/>
        </w:rPr>
        <w:t xml:space="preserve"> elle, un </w:t>
      </w:r>
      <w:r w:rsidRPr="00711106">
        <w:rPr>
          <w:rFonts w:ascii="Calibri" w:eastAsia="Calibri" w:hAnsi="Calibri" w:cs="Calibri"/>
          <w:iCs/>
          <w:color w:val="auto"/>
          <w:sz w:val="22"/>
          <w:szCs w:val="22"/>
        </w:rPr>
        <w:t>accord</w:t>
      </w:r>
      <w:r w:rsidRPr="00711106">
        <w:rPr>
          <w:rFonts w:ascii="Calibri" w:eastAsia="Calibri" w:hAnsi="Calibri" w:cs="Calibri"/>
          <w:color w:val="auto"/>
          <w:sz w:val="22"/>
          <w:szCs w:val="22"/>
        </w:rPr>
        <w:t xml:space="preserve"> </w:t>
      </w:r>
      <w:r w:rsidRPr="00711106">
        <w:rPr>
          <w:rFonts w:ascii="Calibri" w:eastAsia="Calibri" w:hAnsi="Calibri" w:cs="Calibri"/>
          <w:color w:val="auto"/>
          <w:sz w:val="22"/>
          <w:szCs w:val="22"/>
        </w:rPr>
        <w:t>sur les m</w:t>
      </w:r>
      <w:r w:rsidRPr="00711106">
        <w:rPr>
          <w:rFonts w:ascii="Calibri" w:eastAsia="Calibri" w:hAnsi="Calibri" w:cs="Calibri"/>
          <w:color w:val="auto"/>
          <w:sz w:val="22"/>
          <w:szCs w:val="22"/>
        </w:rPr>
        <w:t xml:space="preserve">êmes thèmes. Cependant, la rédaction du texte nous pose </w:t>
      </w:r>
      <w:r w:rsidR="00BD60D0" w:rsidRPr="00711106">
        <w:rPr>
          <w:rFonts w:ascii="Calibri" w:eastAsia="Calibri" w:hAnsi="Calibri" w:cs="Calibri"/>
          <w:color w:val="auto"/>
          <w:sz w:val="22"/>
          <w:szCs w:val="22"/>
        </w:rPr>
        <w:t>un problème</w:t>
      </w:r>
      <w:r w:rsidRPr="00711106">
        <w:rPr>
          <w:rFonts w:ascii="Calibri" w:eastAsia="Calibri" w:hAnsi="Calibri" w:cs="Calibri"/>
          <w:color w:val="auto"/>
          <w:sz w:val="22"/>
          <w:szCs w:val="22"/>
        </w:rPr>
        <w:t>. En effet</w:t>
      </w:r>
      <w:r w:rsidRPr="00711106">
        <w:rPr>
          <w:rFonts w:ascii="Calibri" w:eastAsia="Calibri" w:hAnsi="Calibri" w:cs="Calibri"/>
          <w:color w:val="auto"/>
          <w:sz w:val="22"/>
          <w:szCs w:val="22"/>
        </w:rPr>
        <w:t xml:space="preserve"> elle ne fait pas</w:t>
      </w:r>
      <w:r w:rsidR="00711106">
        <w:rPr>
          <w:rFonts w:ascii="Calibri" w:eastAsia="Calibri" w:hAnsi="Calibri" w:cs="Calibri"/>
          <w:color w:val="auto"/>
          <w:sz w:val="22"/>
          <w:szCs w:val="22"/>
        </w:rPr>
        <w:t>,</w:t>
      </w:r>
      <w:r w:rsidRPr="00711106">
        <w:rPr>
          <w:rFonts w:ascii="Calibri" w:eastAsia="Calibri" w:hAnsi="Calibri" w:cs="Calibri"/>
          <w:color w:val="auto"/>
          <w:sz w:val="22"/>
          <w:szCs w:val="22"/>
        </w:rPr>
        <w:t xml:space="preserve"> </w:t>
      </w:r>
      <w:r w:rsidR="00BD60D0" w:rsidRPr="00711106">
        <w:rPr>
          <w:rFonts w:ascii="Calibri" w:eastAsia="Calibri" w:hAnsi="Calibri" w:cs="Calibri"/>
          <w:color w:val="auto"/>
          <w:sz w:val="22"/>
          <w:szCs w:val="22"/>
        </w:rPr>
        <w:t>à ce stade</w:t>
      </w:r>
      <w:r w:rsidR="00711106">
        <w:rPr>
          <w:rFonts w:ascii="Calibri" w:eastAsia="Calibri" w:hAnsi="Calibri" w:cs="Calibri"/>
          <w:color w:val="auto"/>
          <w:sz w:val="22"/>
          <w:szCs w:val="22"/>
        </w:rPr>
        <w:t>,</w:t>
      </w:r>
      <w:r w:rsidR="00BD60D0" w:rsidRPr="00711106">
        <w:rPr>
          <w:rFonts w:ascii="Calibri" w:eastAsia="Calibri" w:hAnsi="Calibri" w:cs="Calibri"/>
          <w:color w:val="auto"/>
          <w:sz w:val="22"/>
          <w:szCs w:val="22"/>
        </w:rPr>
        <w:t xml:space="preserve"> </w:t>
      </w:r>
      <w:r w:rsidRPr="00711106">
        <w:rPr>
          <w:rFonts w:ascii="Calibri" w:eastAsia="Calibri" w:hAnsi="Calibri" w:cs="Calibri"/>
          <w:color w:val="auto"/>
          <w:sz w:val="22"/>
          <w:szCs w:val="22"/>
        </w:rPr>
        <w:t>la différence entre ce qui relèverait d’une modification de l’accord de 2016 et les nécessaires ajustements de sa mauvaise application par l’UNEDIC.</w:t>
      </w:r>
      <w:r w:rsidR="00BD60D0" w:rsidRPr="00711106">
        <w:rPr>
          <w:rFonts w:ascii="Calibri" w:eastAsia="Calibri" w:hAnsi="Calibri" w:cs="Calibri"/>
          <w:color w:val="auto"/>
          <w:sz w:val="22"/>
          <w:szCs w:val="22"/>
        </w:rPr>
        <w:t xml:space="preserve"> Nous sommes dans l’attente de nouvelles propositions de leur part. </w:t>
      </w:r>
    </w:p>
    <w:p w14:paraId="1B14C31C" w14:textId="77777777" w:rsidR="00F0659E" w:rsidRPr="00711106" w:rsidRDefault="00593889" w:rsidP="00711106">
      <w:pPr>
        <w:pStyle w:val="Standard"/>
        <w:jc w:val="both"/>
        <w:rPr>
          <w:rFonts w:ascii="Calibri" w:eastAsia="Calibri" w:hAnsi="Calibri" w:cs="Calibri"/>
          <w:sz w:val="22"/>
          <w:szCs w:val="22"/>
        </w:rPr>
      </w:pPr>
      <w:r w:rsidRPr="00711106">
        <w:rPr>
          <w:rFonts w:ascii="Calibri" w:eastAsia="Calibri" w:hAnsi="Calibri" w:cs="Calibri"/>
          <w:sz w:val="22"/>
          <w:szCs w:val="22"/>
        </w:rPr>
        <w:t>Les représenta</w:t>
      </w:r>
      <w:r w:rsidRPr="00711106">
        <w:rPr>
          <w:rFonts w:ascii="Calibri" w:eastAsia="Calibri" w:hAnsi="Calibri" w:cs="Calibri"/>
          <w:sz w:val="22"/>
          <w:szCs w:val="22"/>
        </w:rPr>
        <w:t xml:space="preserve">nts CFDT ont </w:t>
      </w:r>
      <w:r w:rsidR="00711106">
        <w:rPr>
          <w:rFonts w:ascii="Calibri" w:eastAsia="Calibri" w:hAnsi="Calibri" w:cs="Calibri"/>
          <w:sz w:val="22"/>
          <w:szCs w:val="22"/>
        </w:rPr>
        <w:t>demandé</w:t>
      </w:r>
      <w:r w:rsidRPr="00711106">
        <w:rPr>
          <w:rFonts w:ascii="Calibri" w:eastAsia="Calibri" w:hAnsi="Calibri" w:cs="Calibri"/>
          <w:sz w:val="22"/>
          <w:szCs w:val="22"/>
        </w:rPr>
        <w:t xml:space="preserve"> </w:t>
      </w:r>
      <w:r w:rsidR="00711106">
        <w:rPr>
          <w:rFonts w:ascii="Calibri" w:eastAsia="Calibri" w:hAnsi="Calibri" w:cs="Calibri"/>
          <w:sz w:val="22"/>
          <w:szCs w:val="22"/>
        </w:rPr>
        <w:t>de</w:t>
      </w:r>
      <w:r w:rsidRPr="00711106">
        <w:rPr>
          <w:rFonts w:ascii="Calibri" w:eastAsia="Calibri" w:hAnsi="Calibri" w:cs="Calibri"/>
          <w:sz w:val="22"/>
          <w:szCs w:val="22"/>
        </w:rPr>
        <w:t xml:space="preserve"> respecter certains points de la lettre de cadrage que leur confédération a signée aux côtés du MEDEF</w:t>
      </w:r>
      <w:r w:rsidR="00711106">
        <w:rPr>
          <w:rFonts w:ascii="Calibri" w:eastAsia="Calibri" w:hAnsi="Calibri" w:cs="Calibri"/>
          <w:sz w:val="22"/>
          <w:szCs w:val="22"/>
        </w:rPr>
        <w:t>,</w:t>
      </w:r>
      <w:r w:rsidRPr="00711106">
        <w:rPr>
          <w:rFonts w:ascii="Calibri" w:eastAsia="Calibri" w:hAnsi="Calibri" w:cs="Calibri"/>
          <w:sz w:val="22"/>
          <w:szCs w:val="22"/>
        </w:rPr>
        <w:t xml:space="preserve"> U2P, CPME, </w:t>
      </w:r>
      <w:r w:rsidR="00BD60D0" w:rsidRPr="00711106">
        <w:rPr>
          <w:rFonts w:ascii="Calibri" w:eastAsia="Calibri" w:hAnsi="Calibri" w:cs="Calibri"/>
          <w:sz w:val="22"/>
          <w:szCs w:val="22"/>
        </w:rPr>
        <w:t xml:space="preserve">CFE </w:t>
      </w:r>
      <w:r w:rsidRPr="00711106">
        <w:rPr>
          <w:rFonts w:ascii="Calibri" w:eastAsia="Calibri" w:hAnsi="Calibri" w:cs="Calibri"/>
          <w:sz w:val="22"/>
          <w:szCs w:val="22"/>
        </w:rPr>
        <w:t>CGC et CFTC. Pour rappel</w:t>
      </w:r>
      <w:r w:rsidR="00711106">
        <w:rPr>
          <w:rFonts w:ascii="Calibri" w:eastAsia="Calibri" w:hAnsi="Calibri" w:cs="Calibri"/>
          <w:sz w:val="22"/>
          <w:szCs w:val="22"/>
        </w:rPr>
        <w:t>,</w:t>
      </w:r>
      <w:r w:rsidRPr="00711106">
        <w:rPr>
          <w:rFonts w:ascii="Calibri" w:eastAsia="Calibri" w:hAnsi="Calibri" w:cs="Calibri"/>
          <w:sz w:val="22"/>
          <w:szCs w:val="22"/>
        </w:rPr>
        <w:t xml:space="preserve"> </w:t>
      </w:r>
      <w:r w:rsidR="00711106">
        <w:rPr>
          <w:rFonts w:ascii="Calibri" w:eastAsia="Calibri" w:hAnsi="Calibri" w:cs="Calibri"/>
          <w:sz w:val="22"/>
          <w:szCs w:val="22"/>
        </w:rPr>
        <w:t>cette</w:t>
      </w:r>
      <w:r w:rsidRPr="00711106">
        <w:rPr>
          <w:rFonts w:ascii="Calibri" w:eastAsia="Calibri" w:hAnsi="Calibri" w:cs="Calibri"/>
          <w:sz w:val="22"/>
          <w:szCs w:val="22"/>
        </w:rPr>
        <w:t xml:space="preserve"> lettre de cadrage </w:t>
      </w:r>
      <w:r w:rsidRPr="00711106">
        <w:rPr>
          <w:rFonts w:ascii="Calibri" w:eastAsia="Calibri" w:hAnsi="Calibri" w:cs="Calibri"/>
          <w:sz w:val="22"/>
          <w:szCs w:val="22"/>
        </w:rPr>
        <w:t xml:space="preserve">exige </w:t>
      </w:r>
      <w:r w:rsidR="00BD60D0" w:rsidRPr="00711106">
        <w:rPr>
          <w:rFonts w:ascii="Calibri" w:eastAsia="Calibri" w:hAnsi="Calibri" w:cs="Calibri"/>
          <w:sz w:val="22"/>
          <w:szCs w:val="22"/>
        </w:rPr>
        <w:t>entre autres</w:t>
      </w:r>
      <w:r w:rsidRPr="00711106">
        <w:rPr>
          <w:rFonts w:ascii="Calibri" w:eastAsia="Calibri" w:hAnsi="Calibri" w:cs="Calibri"/>
          <w:sz w:val="22"/>
          <w:szCs w:val="22"/>
        </w:rPr>
        <w:t xml:space="preserve"> 200 millions d’économies sur nos annexes.</w:t>
      </w:r>
    </w:p>
    <w:p w14:paraId="068DBAEE" w14:textId="77777777" w:rsidR="00F0659E" w:rsidRPr="00711106" w:rsidRDefault="00593889" w:rsidP="00711106">
      <w:pPr>
        <w:pStyle w:val="Standard"/>
        <w:jc w:val="both"/>
        <w:rPr>
          <w:rFonts w:ascii="Calibri" w:eastAsia="Calibri" w:hAnsi="Calibri" w:cs="Calibri"/>
          <w:sz w:val="22"/>
          <w:szCs w:val="22"/>
        </w:rPr>
      </w:pPr>
      <w:r w:rsidRPr="00711106">
        <w:rPr>
          <w:rFonts w:ascii="Calibri" w:eastAsia="Calibri" w:hAnsi="Calibri" w:cs="Calibri"/>
          <w:sz w:val="22"/>
          <w:szCs w:val="22"/>
        </w:rPr>
        <w:t>Parall</w:t>
      </w:r>
      <w:r w:rsidRPr="00711106">
        <w:rPr>
          <w:rFonts w:ascii="Calibri" w:eastAsia="Calibri" w:hAnsi="Calibri" w:cs="Calibri"/>
          <w:sz w:val="22"/>
          <w:szCs w:val="22"/>
        </w:rPr>
        <w:t>è</w:t>
      </w:r>
      <w:r w:rsidRPr="00711106">
        <w:rPr>
          <w:rFonts w:ascii="Calibri" w:eastAsia="Calibri" w:hAnsi="Calibri" w:cs="Calibri"/>
          <w:sz w:val="22"/>
          <w:szCs w:val="22"/>
        </w:rPr>
        <w:t>leme</w:t>
      </w:r>
      <w:r w:rsidRPr="00711106">
        <w:rPr>
          <w:rFonts w:ascii="Calibri" w:eastAsia="Calibri" w:hAnsi="Calibri" w:cs="Calibri"/>
          <w:sz w:val="22"/>
          <w:szCs w:val="22"/>
        </w:rPr>
        <w:t>nt, des discussions ont eu lieu sur diff</w:t>
      </w:r>
      <w:r w:rsidRPr="00711106">
        <w:rPr>
          <w:rFonts w:ascii="Calibri" w:eastAsia="Calibri" w:hAnsi="Calibri" w:cs="Calibri"/>
          <w:sz w:val="22"/>
          <w:szCs w:val="22"/>
        </w:rPr>
        <w:t>é</w:t>
      </w:r>
      <w:r w:rsidRPr="00711106">
        <w:rPr>
          <w:rFonts w:ascii="Calibri" w:eastAsia="Calibri" w:hAnsi="Calibri" w:cs="Calibri"/>
          <w:sz w:val="22"/>
          <w:szCs w:val="22"/>
        </w:rPr>
        <w:t>rentes mesures</w:t>
      </w:r>
      <w:r w:rsidRPr="00711106">
        <w:rPr>
          <w:rFonts w:ascii="Calibri" w:eastAsia="Calibri" w:hAnsi="Calibri" w:cs="Calibri"/>
          <w:sz w:val="22"/>
          <w:szCs w:val="22"/>
        </w:rPr>
        <w:t xml:space="preserve"> </w:t>
      </w:r>
      <w:r w:rsidR="00711106" w:rsidRPr="00711106">
        <w:rPr>
          <w:rFonts w:ascii="Calibri" w:eastAsia="Calibri" w:hAnsi="Calibri" w:cs="Calibri"/>
          <w:sz w:val="22"/>
          <w:szCs w:val="22"/>
        </w:rPr>
        <w:t>sur l’emploi</w:t>
      </w:r>
      <w:r w:rsidR="00087167">
        <w:rPr>
          <w:rFonts w:ascii="Calibri" w:eastAsia="Calibri" w:hAnsi="Calibri" w:cs="Calibri"/>
          <w:sz w:val="22"/>
          <w:szCs w:val="22"/>
        </w:rPr>
        <w:t xml:space="preserve"> - </w:t>
      </w:r>
      <w:r w:rsidR="00711106" w:rsidRPr="00711106">
        <w:rPr>
          <w:rFonts w:ascii="Calibri" w:eastAsia="Calibri" w:hAnsi="Calibri" w:cs="Calibri"/>
          <w:sz w:val="22"/>
          <w:szCs w:val="22"/>
        </w:rPr>
        <w:t xml:space="preserve">dont le </w:t>
      </w:r>
      <w:proofErr w:type="spellStart"/>
      <w:r w:rsidR="00711106" w:rsidRPr="00711106">
        <w:rPr>
          <w:rFonts w:ascii="Calibri" w:eastAsia="Calibri" w:hAnsi="Calibri" w:cs="Calibri"/>
          <w:sz w:val="22"/>
          <w:szCs w:val="22"/>
        </w:rPr>
        <w:t>Fonpeps</w:t>
      </w:r>
      <w:proofErr w:type="spellEnd"/>
      <w:r w:rsidR="00711106" w:rsidRPr="00711106">
        <w:rPr>
          <w:rFonts w:ascii="Calibri" w:eastAsia="Calibri" w:hAnsi="Calibri" w:cs="Calibri"/>
          <w:sz w:val="22"/>
          <w:szCs w:val="22"/>
        </w:rPr>
        <w:t xml:space="preserve"> et la lutte contre le travail illégal</w:t>
      </w:r>
      <w:r w:rsidR="00711106">
        <w:rPr>
          <w:rFonts w:ascii="Calibri" w:eastAsia="Calibri" w:hAnsi="Calibri" w:cs="Calibri"/>
          <w:sz w:val="22"/>
          <w:szCs w:val="22"/>
        </w:rPr>
        <w:t xml:space="preserve"> -</w:t>
      </w:r>
      <w:r w:rsidR="00711106" w:rsidRPr="00711106">
        <w:rPr>
          <w:rFonts w:ascii="Calibri" w:eastAsia="Calibri" w:hAnsi="Calibri" w:cs="Calibri"/>
          <w:sz w:val="22"/>
          <w:szCs w:val="22"/>
        </w:rPr>
        <w:t xml:space="preserve"> </w:t>
      </w:r>
      <w:r w:rsidRPr="00711106">
        <w:rPr>
          <w:rFonts w:ascii="Calibri" w:eastAsia="Calibri" w:hAnsi="Calibri" w:cs="Calibri"/>
          <w:sz w:val="22"/>
          <w:szCs w:val="22"/>
        </w:rPr>
        <w:t>rel</w:t>
      </w:r>
      <w:r w:rsidR="00711106">
        <w:rPr>
          <w:rFonts w:ascii="Calibri" w:eastAsia="Calibri" w:hAnsi="Calibri" w:cs="Calibri"/>
          <w:sz w:val="22"/>
          <w:szCs w:val="22"/>
        </w:rPr>
        <w:t>eva</w:t>
      </w:r>
      <w:r w:rsidRPr="00711106">
        <w:rPr>
          <w:rFonts w:ascii="Calibri" w:eastAsia="Calibri" w:hAnsi="Calibri" w:cs="Calibri"/>
          <w:sz w:val="22"/>
          <w:szCs w:val="22"/>
        </w:rPr>
        <w:t>nt du ressort de l</w:t>
      </w:r>
      <w:r w:rsidRPr="00711106">
        <w:rPr>
          <w:rFonts w:ascii="Calibri" w:eastAsia="Calibri" w:hAnsi="Calibri" w:cs="Calibri"/>
          <w:sz w:val="22"/>
          <w:szCs w:val="22"/>
        </w:rPr>
        <w:t>’</w:t>
      </w:r>
      <w:r w:rsidRPr="00711106">
        <w:rPr>
          <w:rFonts w:ascii="Calibri" w:eastAsia="Calibri" w:hAnsi="Calibri" w:cs="Calibri"/>
          <w:sz w:val="22"/>
          <w:szCs w:val="22"/>
        </w:rPr>
        <w:t>Etat</w:t>
      </w:r>
      <w:r w:rsidRPr="00711106">
        <w:rPr>
          <w:rFonts w:ascii="Calibri" w:eastAsia="Calibri" w:hAnsi="Calibri" w:cs="Calibri"/>
          <w:sz w:val="22"/>
          <w:szCs w:val="22"/>
        </w:rPr>
        <w:t>.</w:t>
      </w:r>
      <w:r w:rsidR="00BD60D0" w:rsidRPr="00711106">
        <w:rPr>
          <w:rFonts w:ascii="Calibri" w:eastAsia="Calibri" w:hAnsi="Calibri" w:cs="Calibri"/>
          <w:sz w:val="22"/>
          <w:szCs w:val="22"/>
        </w:rPr>
        <w:t xml:space="preserve"> Nous proposons qu’un courrier soit adressé conjointement aux ministres de la Culture et du Travail. </w:t>
      </w:r>
    </w:p>
    <w:p w14:paraId="0648E0F4" w14:textId="77777777" w:rsidR="00F0659E" w:rsidRPr="00711106" w:rsidRDefault="00F0659E" w:rsidP="00711106">
      <w:pPr>
        <w:pStyle w:val="Standard"/>
        <w:jc w:val="both"/>
        <w:rPr>
          <w:rFonts w:ascii="Calibri" w:eastAsia="Calibri" w:hAnsi="Calibri" w:cs="Calibri"/>
          <w:sz w:val="22"/>
          <w:szCs w:val="22"/>
        </w:rPr>
      </w:pPr>
    </w:p>
    <w:p w14:paraId="34EAB5BA" w14:textId="77777777" w:rsidR="00242DF2" w:rsidRPr="00711106" w:rsidRDefault="00593889" w:rsidP="00711106">
      <w:pPr>
        <w:pStyle w:val="Standard"/>
        <w:jc w:val="both"/>
        <w:rPr>
          <w:rFonts w:ascii="Calibri" w:eastAsia="Calibri" w:hAnsi="Calibri" w:cs="Calibri"/>
          <w:sz w:val="22"/>
          <w:szCs w:val="22"/>
        </w:rPr>
      </w:pPr>
      <w:r w:rsidRPr="00711106">
        <w:rPr>
          <w:rFonts w:ascii="Calibri" w:eastAsia="Calibri" w:hAnsi="Calibri" w:cs="Calibri"/>
          <w:sz w:val="22"/>
          <w:szCs w:val="22"/>
        </w:rPr>
        <w:t>Notre derni</w:t>
      </w:r>
      <w:r w:rsidRPr="00711106">
        <w:rPr>
          <w:rFonts w:ascii="Calibri" w:eastAsia="Calibri" w:hAnsi="Calibri" w:cs="Calibri"/>
          <w:sz w:val="22"/>
          <w:szCs w:val="22"/>
        </w:rPr>
        <w:t>è</w:t>
      </w:r>
      <w:r w:rsidRPr="00711106">
        <w:rPr>
          <w:rFonts w:ascii="Calibri" w:eastAsia="Calibri" w:hAnsi="Calibri" w:cs="Calibri"/>
          <w:sz w:val="22"/>
          <w:szCs w:val="22"/>
        </w:rPr>
        <w:t>re r</w:t>
      </w:r>
      <w:r w:rsidRPr="00711106">
        <w:rPr>
          <w:rFonts w:ascii="Calibri" w:eastAsia="Calibri" w:hAnsi="Calibri" w:cs="Calibri"/>
          <w:sz w:val="22"/>
          <w:szCs w:val="22"/>
        </w:rPr>
        <w:t>é</w:t>
      </w:r>
      <w:r w:rsidRPr="00711106">
        <w:rPr>
          <w:rFonts w:ascii="Calibri" w:eastAsia="Calibri" w:hAnsi="Calibri" w:cs="Calibri"/>
          <w:sz w:val="22"/>
          <w:szCs w:val="22"/>
        </w:rPr>
        <w:t>union de n</w:t>
      </w:r>
      <w:r w:rsidRPr="00711106">
        <w:rPr>
          <w:rFonts w:ascii="Calibri" w:eastAsia="Calibri" w:hAnsi="Calibri" w:cs="Calibri"/>
          <w:sz w:val="22"/>
          <w:szCs w:val="22"/>
        </w:rPr>
        <w:t>é</w:t>
      </w:r>
      <w:r w:rsidRPr="00711106">
        <w:rPr>
          <w:rFonts w:ascii="Calibri" w:eastAsia="Calibri" w:hAnsi="Calibri" w:cs="Calibri"/>
          <w:sz w:val="22"/>
          <w:szCs w:val="22"/>
        </w:rPr>
        <w:t xml:space="preserve">gociation pour </w:t>
      </w:r>
      <w:r w:rsidR="00BD60D0" w:rsidRPr="00711106">
        <w:rPr>
          <w:rFonts w:ascii="Calibri" w:eastAsia="Calibri" w:hAnsi="Calibri" w:cs="Calibri"/>
          <w:sz w:val="22"/>
          <w:szCs w:val="22"/>
        </w:rPr>
        <w:t>les annexes 8 et 10</w:t>
      </w:r>
      <w:r w:rsidRPr="00711106">
        <w:rPr>
          <w:rFonts w:ascii="Calibri" w:eastAsia="Calibri" w:hAnsi="Calibri" w:cs="Calibri"/>
          <w:sz w:val="22"/>
          <w:szCs w:val="22"/>
        </w:rPr>
        <w:t xml:space="preserve"> est pr</w:t>
      </w:r>
      <w:r w:rsidRPr="00711106">
        <w:rPr>
          <w:rFonts w:ascii="Calibri" w:eastAsia="Calibri" w:hAnsi="Calibri" w:cs="Calibri"/>
          <w:sz w:val="22"/>
          <w:szCs w:val="22"/>
        </w:rPr>
        <w:t>é</w:t>
      </w:r>
      <w:r w:rsidRPr="00711106">
        <w:rPr>
          <w:rFonts w:ascii="Calibri" w:eastAsia="Calibri" w:hAnsi="Calibri" w:cs="Calibri"/>
          <w:sz w:val="22"/>
          <w:szCs w:val="22"/>
        </w:rPr>
        <w:t>vue lundi 21 janvier.</w:t>
      </w:r>
      <w:r w:rsidRPr="00711106">
        <w:rPr>
          <w:rFonts w:ascii="Calibri" w:eastAsia="Calibri" w:hAnsi="Calibri" w:cs="Calibri"/>
          <w:sz w:val="22"/>
          <w:szCs w:val="22"/>
        </w:rPr>
        <w:t xml:space="preserve"> Mardi 22</w:t>
      </w:r>
      <w:r w:rsidR="00BD60D0" w:rsidRPr="00711106">
        <w:rPr>
          <w:rFonts w:ascii="Calibri" w:eastAsia="Calibri" w:hAnsi="Calibri" w:cs="Calibri"/>
          <w:sz w:val="22"/>
          <w:szCs w:val="22"/>
        </w:rPr>
        <w:t>,</w:t>
      </w:r>
      <w:r w:rsidRPr="00711106">
        <w:rPr>
          <w:rFonts w:ascii="Calibri" w:eastAsia="Calibri" w:hAnsi="Calibri" w:cs="Calibri"/>
          <w:sz w:val="22"/>
          <w:szCs w:val="22"/>
        </w:rPr>
        <w:t xml:space="preserve"> les partenaires sociaux au niveau interprofessionnel (MEDEF, U2P, CPME et les conf</w:t>
      </w:r>
      <w:r w:rsidRPr="00711106">
        <w:rPr>
          <w:rFonts w:ascii="Calibri" w:eastAsia="Calibri" w:hAnsi="Calibri" w:cs="Calibri"/>
          <w:sz w:val="22"/>
          <w:szCs w:val="22"/>
        </w:rPr>
        <w:t>é</w:t>
      </w:r>
      <w:r w:rsidRPr="00711106">
        <w:rPr>
          <w:rFonts w:ascii="Calibri" w:eastAsia="Calibri" w:hAnsi="Calibri" w:cs="Calibri"/>
          <w:sz w:val="22"/>
          <w:szCs w:val="22"/>
        </w:rPr>
        <w:t>d</w:t>
      </w:r>
      <w:r w:rsidRPr="00711106">
        <w:rPr>
          <w:rFonts w:ascii="Calibri" w:eastAsia="Calibri" w:hAnsi="Calibri" w:cs="Calibri"/>
          <w:sz w:val="22"/>
          <w:szCs w:val="22"/>
        </w:rPr>
        <w:t>é</w:t>
      </w:r>
      <w:r w:rsidRPr="00711106">
        <w:rPr>
          <w:rFonts w:ascii="Calibri" w:eastAsia="Calibri" w:hAnsi="Calibri" w:cs="Calibri"/>
          <w:sz w:val="22"/>
          <w:szCs w:val="22"/>
        </w:rPr>
        <w:t>rations de salari</w:t>
      </w:r>
      <w:r w:rsidRPr="00711106">
        <w:rPr>
          <w:rFonts w:ascii="Calibri" w:eastAsia="Calibri" w:hAnsi="Calibri" w:cs="Calibri"/>
          <w:sz w:val="22"/>
          <w:szCs w:val="22"/>
        </w:rPr>
        <w:t>é</w:t>
      </w:r>
      <w:r w:rsidRPr="00711106">
        <w:rPr>
          <w:rFonts w:ascii="Calibri" w:eastAsia="Calibri" w:hAnsi="Calibri" w:cs="Calibri"/>
          <w:sz w:val="22"/>
          <w:szCs w:val="22"/>
        </w:rPr>
        <w:t>s) se r</w:t>
      </w:r>
      <w:r w:rsidRPr="00711106">
        <w:rPr>
          <w:rFonts w:ascii="Calibri" w:eastAsia="Calibri" w:hAnsi="Calibri" w:cs="Calibri"/>
          <w:sz w:val="22"/>
          <w:szCs w:val="22"/>
        </w:rPr>
        <w:t>é</w:t>
      </w:r>
      <w:r w:rsidRPr="00711106">
        <w:rPr>
          <w:rFonts w:ascii="Calibri" w:eastAsia="Calibri" w:hAnsi="Calibri" w:cs="Calibri"/>
          <w:sz w:val="22"/>
          <w:szCs w:val="22"/>
        </w:rPr>
        <w:t>uniront pour statuer sur l</w:t>
      </w:r>
      <w:r w:rsidRPr="00711106">
        <w:rPr>
          <w:rFonts w:ascii="Calibri" w:eastAsia="Calibri" w:hAnsi="Calibri" w:cs="Calibri"/>
          <w:sz w:val="22"/>
          <w:szCs w:val="22"/>
        </w:rPr>
        <w:t>’é</w:t>
      </w:r>
      <w:r w:rsidRPr="00711106">
        <w:rPr>
          <w:rFonts w:ascii="Calibri" w:eastAsia="Calibri" w:hAnsi="Calibri" w:cs="Calibri"/>
          <w:sz w:val="22"/>
          <w:szCs w:val="22"/>
        </w:rPr>
        <w:t>ventuel</w:t>
      </w:r>
      <w:r w:rsidR="00BD60D0" w:rsidRPr="00711106">
        <w:rPr>
          <w:rFonts w:ascii="Calibri" w:eastAsia="Calibri" w:hAnsi="Calibri" w:cs="Calibri"/>
          <w:sz w:val="22"/>
          <w:szCs w:val="22"/>
        </w:rPr>
        <w:t>le</w:t>
      </w:r>
      <w:r w:rsidRPr="00711106">
        <w:rPr>
          <w:rFonts w:ascii="Calibri" w:eastAsia="Calibri" w:hAnsi="Calibri" w:cs="Calibri"/>
          <w:sz w:val="22"/>
          <w:szCs w:val="22"/>
        </w:rPr>
        <w:t xml:space="preserve"> issue de nos n</w:t>
      </w:r>
      <w:r w:rsidRPr="00711106">
        <w:rPr>
          <w:rFonts w:ascii="Calibri" w:eastAsia="Calibri" w:hAnsi="Calibri" w:cs="Calibri"/>
          <w:sz w:val="22"/>
          <w:szCs w:val="22"/>
        </w:rPr>
        <w:t>é</w:t>
      </w:r>
      <w:r w:rsidRPr="00711106">
        <w:rPr>
          <w:rFonts w:ascii="Calibri" w:eastAsia="Calibri" w:hAnsi="Calibri" w:cs="Calibri"/>
          <w:sz w:val="22"/>
          <w:szCs w:val="22"/>
        </w:rPr>
        <w:t>gociations</w:t>
      </w:r>
      <w:r w:rsidR="00BD60D0" w:rsidRPr="00711106">
        <w:rPr>
          <w:rFonts w:ascii="Calibri" w:eastAsia="Calibri" w:hAnsi="Calibri" w:cs="Calibri"/>
          <w:sz w:val="22"/>
          <w:szCs w:val="22"/>
        </w:rPr>
        <w:t xml:space="preserve"> professionnelles</w:t>
      </w:r>
      <w:r w:rsidRPr="00711106">
        <w:rPr>
          <w:rFonts w:ascii="Calibri" w:eastAsia="Calibri" w:hAnsi="Calibri" w:cs="Calibri"/>
          <w:sz w:val="22"/>
          <w:szCs w:val="22"/>
        </w:rPr>
        <w:t>.</w:t>
      </w:r>
      <w:r w:rsidR="00087167">
        <w:rPr>
          <w:rFonts w:ascii="Calibri" w:eastAsia="Calibri" w:hAnsi="Calibri" w:cs="Calibri"/>
          <w:sz w:val="22"/>
          <w:szCs w:val="22"/>
        </w:rPr>
        <w:t xml:space="preserve"> </w:t>
      </w:r>
      <w:r w:rsidR="00242DF2" w:rsidRPr="00711106">
        <w:rPr>
          <w:rFonts w:ascii="Calibri" w:hAnsi="Calibri" w:cs="Calibri"/>
          <w:sz w:val="22"/>
          <w:szCs w:val="22"/>
        </w:rPr>
        <w:t xml:space="preserve">Peu importe </w:t>
      </w:r>
      <w:r w:rsidR="00087167">
        <w:rPr>
          <w:rFonts w:ascii="Calibri" w:hAnsi="Calibri" w:cs="Calibri"/>
          <w:sz w:val="22"/>
          <w:szCs w:val="22"/>
        </w:rPr>
        <w:t>le résultat</w:t>
      </w:r>
      <w:r w:rsidR="00242DF2" w:rsidRPr="00711106">
        <w:rPr>
          <w:rFonts w:ascii="Calibri" w:hAnsi="Calibri" w:cs="Calibri"/>
          <w:sz w:val="22"/>
          <w:szCs w:val="22"/>
        </w:rPr>
        <w:t xml:space="preserve"> de la réunion du 21 janvier, l’étape la plus difficile sera de le faire accepter par l’interprofessionnel</w:t>
      </w:r>
      <w:r w:rsidR="00711106" w:rsidRPr="00711106">
        <w:rPr>
          <w:rFonts w:ascii="Calibri" w:hAnsi="Calibri" w:cs="Calibri"/>
          <w:sz w:val="22"/>
          <w:szCs w:val="22"/>
        </w:rPr>
        <w:t xml:space="preserve"> </w:t>
      </w:r>
      <w:r w:rsidR="00242DF2" w:rsidRPr="00711106">
        <w:rPr>
          <w:rFonts w:ascii="Calibri" w:hAnsi="Calibri" w:cs="Calibri"/>
          <w:sz w:val="22"/>
          <w:szCs w:val="22"/>
        </w:rPr>
        <w:t>et par le gouvernement.</w:t>
      </w:r>
      <w:r w:rsidR="00242DF2" w:rsidRPr="00711106">
        <w:rPr>
          <w:rFonts w:ascii="Calibri" w:eastAsia="Calibri" w:hAnsi="Calibri" w:cs="Calibri"/>
          <w:sz w:val="22"/>
          <w:szCs w:val="22"/>
        </w:rPr>
        <w:t xml:space="preserve"> En effet, notre négociation a lieu sous l’égide du Medef et consorts</w:t>
      </w:r>
      <w:r w:rsidR="00087167">
        <w:rPr>
          <w:rFonts w:ascii="Calibri" w:eastAsia="Calibri" w:hAnsi="Calibri" w:cs="Calibri"/>
          <w:sz w:val="22"/>
          <w:szCs w:val="22"/>
        </w:rPr>
        <w:t>,</w:t>
      </w:r>
      <w:r w:rsidR="00242DF2" w:rsidRPr="00711106">
        <w:rPr>
          <w:rFonts w:ascii="Calibri" w:eastAsia="Calibri" w:hAnsi="Calibri" w:cs="Calibri"/>
          <w:sz w:val="22"/>
          <w:szCs w:val="22"/>
        </w:rPr>
        <w:t xml:space="preserve"> qui sont en capacité </w:t>
      </w:r>
      <w:r w:rsidR="00242DF2" w:rsidRPr="00711106">
        <w:rPr>
          <w:rFonts w:ascii="Calibri" w:eastAsia="Calibri" w:hAnsi="Calibri" w:cs="Calibri"/>
          <w:sz w:val="22"/>
          <w:szCs w:val="22"/>
        </w:rPr>
        <w:t xml:space="preserve">de valider ou non </w:t>
      </w:r>
      <w:r w:rsidR="00242DF2" w:rsidRPr="00711106">
        <w:rPr>
          <w:rFonts w:ascii="Calibri" w:eastAsia="Calibri" w:hAnsi="Calibri" w:cs="Calibri"/>
          <w:sz w:val="22"/>
          <w:szCs w:val="22"/>
        </w:rPr>
        <w:t xml:space="preserve">le résultat de nos discussions. En cas de refus, l’arbitrage final sera dans les mains de l’Etat. Nous attendons du Gouvernement qu’il respecte les engagements pris par le Ministre de la Culture, Franck Riester, en décembre dans le Journal du Dimanche. </w:t>
      </w:r>
    </w:p>
    <w:p w14:paraId="2B4A662E" w14:textId="77777777" w:rsidR="00F0659E" w:rsidRPr="00711106" w:rsidRDefault="00242DF2" w:rsidP="00711106">
      <w:pPr>
        <w:pStyle w:val="Standard"/>
        <w:jc w:val="both"/>
        <w:rPr>
          <w:rFonts w:ascii="Calibri" w:eastAsia="Calibri" w:hAnsi="Calibri" w:cs="Calibri"/>
          <w:sz w:val="22"/>
          <w:szCs w:val="22"/>
        </w:rPr>
      </w:pPr>
      <w:r w:rsidRPr="00711106">
        <w:rPr>
          <w:rFonts w:ascii="Calibri" w:eastAsia="Calibri" w:hAnsi="Calibri" w:cs="Calibri"/>
          <w:sz w:val="22"/>
          <w:szCs w:val="22"/>
        </w:rPr>
        <w:br/>
        <w:t xml:space="preserve">Ces séances de négociation sont une première étape. Continuons à informer. Nous devons nous attendre à une mobilisation de longue haleine. </w:t>
      </w:r>
    </w:p>
    <w:p w14:paraId="603EC2BC" w14:textId="77777777" w:rsidR="00F0659E" w:rsidRDefault="00593889" w:rsidP="00711106">
      <w:pPr>
        <w:ind w:left="284"/>
        <w:jc w:val="right"/>
        <w:rPr>
          <w:rFonts w:ascii="Calibri" w:eastAsia="Calibri" w:hAnsi="Calibri" w:cs="Calibri"/>
          <w:i/>
          <w:iCs/>
          <w:sz w:val="18"/>
          <w:szCs w:val="18"/>
        </w:rPr>
      </w:pPr>
      <w:r>
        <w:rPr>
          <w:rFonts w:ascii="Calibri" w:eastAsia="Calibri" w:hAnsi="Calibri" w:cs="Calibri"/>
          <w:i/>
          <w:iCs/>
          <w:sz w:val="18"/>
          <w:szCs w:val="18"/>
        </w:rPr>
        <w:t>P</w:t>
      </w:r>
      <w:r>
        <w:rPr>
          <w:rFonts w:ascii="Calibri" w:eastAsia="Calibri" w:hAnsi="Calibri" w:cs="Calibri"/>
          <w:i/>
          <w:iCs/>
          <w:sz w:val="18"/>
          <w:szCs w:val="18"/>
        </w:rPr>
        <w:t xml:space="preserve">aris, le </w:t>
      </w:r>
      <w:r w:rsidR="00BD60D0">
        <w:rPr>
          <w:rFonts w:ascii="Calibri" w:eastAsia="Calibri" w:hAnsi="Calibri" w:cs="Calibri"/>
          <w:i/>
          <w:iCs/>
          <w:sz w:val="18"/>
          <w:szCs w:val="18"/>
        </w:rPr>
        <w:t>17/01/2019</w:t>
      </w:r>
      <w:r>
        <w:rPr>
          <w:rFonts w:ascii="Calibri" w:eastAsia="Calibri" w:hAnsi="Calibri" w:cs="Calibri"/>
          <w:i/>
          <w:iCs/>
          <w:sz w:val="18"/>
          <w:szCs w:val="18"/>
        </w:rPr>
        <w:t xml:space="preserve">.  </w:t>
      </w:r>
    </w:p>
    <w:p w14:paraId="62C17FD6" w14:textId="77777777" w:rsidR="00F0659E" w:rsidRDefault="00F0659E" w:rsidP="00711106">
      <w:pPr>
        <w:ind w:left="284"/>
        <w:rPr>
          <w:rFonts w:ascii="Calibri" w:eastAsia="Calibri" w:hAnsi="Calibri" w:cs="Calibri"/>
          <w:i/>
          <w:iCs/>
          <w:sz w:val="18"/>
          <w:szCs w:val="18"/>
        </w:rPr>
      </w:pPr>
    </w:p>
    <w:p w14:paraId="345210E8" w14:textId="77777777" w:rsidR="00F0659E" w:rsidRDefault="00593889" w:rsidP="00711106">
      <w:pPr>
        <w:ind w:left="142"/>
      </w:pPr>
      <w:r>
        <w:rPr>
          <w:rFonts w:ascii="Calibri" w:eastAsia="Calibri" w:hAnsi="Calibri" w:cs="Calibri"/>
          <w:b/>
          <w:bCs/>
          <w:noProof/>
          <w:color w:val="FF0000"/>
          <w:sz w:val="20"/>
          <w:szCs w:val="20"/>
          <w:u w:color="FF0000"/>
        </w:rPr>
        <mc:AlternateContent>
          <mc:Choice Requires="wps">
            <w:drawing>
              <wp:anchor distT="0" distB="0" distL="0" distR="0" simplePos="0" relativeHeight="251660288" behindDoc="0" locked="0" layoutInCell="1" allowOverlap="1">
                <wp:simplePos x="0" y="0"/>
                <wp:positionH relativeFrom="column">
                  <wp:posOffset>553085</wp:posOffset>
                </wp:positionH>
                <wp:positionV relativeFrom="line">
                  <wp:posOffset>46355</wp:posOffset>
                </wp:positionV>
                <wp:extent cx="5514975" cy="48514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514975" cy="485140"/>
                        </a:xfrm>
                        <a:prstGeom prst="rect">
                          <a:avLst/>
                        </a:prstGeom>
                        <a:solidFill>
                          <a:srgbClr val="FFFFFF"/>
                        </a:solidFill>
                        <a:ln w="9525" cap="flat">
                          <a:solidFill>
                            <a:srgbClr val="000000"/>
                          </a:solidFill>
                          <a:prstDash val="sysDot"/>
                          <a:round/>
                        </a:ln>
                        <a:effectLst/>
                      </wps:spPr>
                      <wps:txbx>
                        <w:txbxContent>
                          <w:p w14:paraId="1A4DD550" w14:textId="77777777" w:rsidR="00F0659E" w:rsidRDefault="00593889">
                            <w:pPr>
                              <w:ind w:left="300"/>
                              <w:jc w:val="center"/>
                              <w:rPr>
                                <w:rFonts w:ascii="Calibri" w:eastAsia="Calibri" w:hAnsi="Calibri" w:cs="Calibri"/>
                                <w:sz w:val="18"/>
                                <w:szCs w:val="18"/>
                              </w:rPr>
                            </w:pPr>
                            <w:r>
                              <w:rPr>
                                <w:rFonts w:ascii="Calibri" w:eastAsia="Calibri" w:hAnsi="Calibri" w:cs="Calibri"/>
                                <w:sz w:val="18"/>
                                <w:szCs w:val="18"/>
                              </w:rPr>
                              <w:t>Fédération Nationale des Syndicats du Spectacle, du Cinéma, de l’Audiovisuel et de l’</w:t>
                            </w:r>
                            <w:r>
                              <w:rPr>
                                <w:rFonts w:ascii="Calibri" w:eastAsia="Calibri" w:hAnsi="Calibri" w:cs="Calibri"/>
                                <w:sz w:val="18"/>
                                <w:szCs w:val="18"/>
                              </w:rPr>
                              <w:t xml:space="preserve">Action Culturelle Cgt </w:t>
                            </w:r>
                          </w:p>
                          <w:p w14:paraId="36FD0BC5" w14:textId="77777777" w:rsidR="00F0659E" w:rsidRDefault="00593889">
                            <w:pPr>
                              <w:ind w:left="300"/>
                              <w:jc w:val="center"/>
                            </w:pPr>
                            <w:r>
                              <w:rPr>
                                <w:rFonts w:ascii="Calibri" w:eastAsia="Calibri" w:hAnsi="Calibri" w:cs="Calibri"/>
                                <w:sz w:val="18"/>
                                <w:szCs w:val="18"/>
                              </w:rPr>
                              <w:t xml:space="preserve">14-16, rue des Lilas 75019 PARIS - 01 48 03 87 60 - www.fnsac-cgt.com - cgtspectacle@fnsac-cgt.com </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43.55pt;margin-top:3.65pt;width:434.25pt;height:38.2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">
                <v:stroke dashstyle="1 1" joinstyle="round"/>
                <v:textbox inset="1.27mm,1.27mm,1.27mm,1.27mm">
                  <w:txbxContent>
                    <w:p w14:paraId="1A4DD550" w14:textId="77777777" w:rsidR="00F0659E" w:rsidRDefault="00593889">
                      <w:pPr>
                        <w:ind w:left="300"/>
                        <w:jc w:val="center"/>
                        <w:rPr>
                          <w:rFonts w:ascii="Calibri" w:eastAsia="Calibri" w:hAnsi="Calibri" w:cs="Calibri"/>
                          <w:sz w:val="18"/>
                          <w:szCs w:val="18"/>
                        </w:rPr>
                      </w:pPr>
                      <w:r>
                        <w:rPr>
                          <w:rFonts w:ascii="Calibri" w:eastAsia="Calibri" w:hAnsi="Calibri" w:cs="Calibri"/>
                          <w:sz w:val="18"/>
                          <w:szCs w:val="18"/>
                        </w:rPr>
                        <w:t>Fédération Nationale des Syndicats du Spectacle, du Cinéma, de l’Audiovisuel et de l’</w:t>
                      </w:r>
                      <w:r>
                        <w:rPr>
                          <w:rFonts w:ascii="Calibri" w:eastAsia="Calibri" w:hAnsi="Calibri" w:cs="Calibri"/>
                          <w:sz w:val="18"/>
                          <w:szCs w:val="18"/>
                        </w:rPr>
                        <w:t xml:space="preserve">Action Culturelle Cgt </w:t>
                      </w:r>
                    </w:p>
                    <w:p w14:paraId="36FD0BC5" w14:textId="77777777" w:rsidR="00F0659E" w:rsidRDefault="00593889">
                      <w:pPr>
                        <w:ind w:left="300"/>
                        <w:jc w:val="center"/>
                      </w:pPr>
                      <w:r>
                        <w:rPr>
                          <w:rFonts w:ascii="Calibri" w:eastAsia="Calibri" w:hAnsi="Calibri" w:cs="Calibri"/>
                          <w:sz w:val="18"/>
                          <w:szCs w:val="18"/>
                        </w:rPr>
                        <w:t xml:space="preserve">14-16, rue des Lilas 75019 PARIS - 01 48 03 87 60 - www.fnsac-cgt.com - cgtspectacle@fnsac-cgt.com </w:t>
                      </w:r>
                    </w:p>
                  </w:txbxContent>
                </v:textbox>
                <w10:wrap anchory="line"/>
              </v:shape>
            </w:pict>
          </mc:Fallback>
        </mc:AlternateContent>
      </w:r>
    </w:p>
    <w:sectPr w:rsidR="00F0659E" w:rsidSect="00711106">
      <w:pgSz w:w="11900" w:h="16840"/>
      <w:pgMar w:top="720" w:right="720" w:bottom="720" w:left="720" w:header="720" w:footer="20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4D2FC" w14:textId="77777777" w:rsidR="00593889" w:rsidRDefault="00593889">
      <w:r>
        <w:separator/>
      </w:r>
    </w:p>
  </w:endnote>
  <w:endnote w:type="continuationSeparator" w:id="0">
    <w:p w14:paraId="3EB4AA7D" w14:textId="77777777" w:rsidR="00593889" w:rsidRDefault="0059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064D" w14:textId="77777777" w:rsidR="00593889" w:rsidRDefault="00593889">
      <w:r>
        <w:separator/>
      </w:r>
    </w:p>
  </w:footnote>
  <w:footnote w:type="continuationSeparator" w:id="0">
    <w:p w14:paraId="787169EB" w14:textId="77777777" w:rsidR="00593889" w:rsidRDefault="00593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1366D"/>
    <w:multiLevelType w:val="hybridMultilevel"/>
    <w:tmpl w:val="6FF44290"/>
    <w:styleLink w:val="Puces"/>
    <w:lvl w:ilvl="0" w:tplc="00F4D43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74E5A6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684EC5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D1C27B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220DB4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69F4568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FB8CF1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80217E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3D6273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E72761"/>
    <w:multiLevelType w:val="hybridMultilevel"/>
    <w:tmpl w:val="6FF44290"/>
    <w:numStyleLink w:val="Puc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9E"/>
    <w:rsid w:val="00087167"/>
    <w:rsid w:val="00242DF2"/>
    <w:rsid w:val="00593889"/>
    <w:rsid w:val="00711106"/>
    <w:rsid w:val="00BD60D0"/>
    <w:rsid w:val="00F06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AAAF"/>
  <w15:docId w15:val="{CF4EEE62-B150-4A95-A18D-22A97AA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Arial Unicode MS"/>
      <w:color w:val="000000"/>
      <w:sz w:val="22"/>
      <w:szCs w:val="22"/>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Retraitcorpsdetexte">
    <w:name w:val="Body Text Indent"/>
    <w:pPr>
      <w:ind w:left="1418"/>
      <w:jc w:val="center"/>
    </w:pPr>
    <w:rPr>
      <w:rFonts w:ascii="Comic Sans MS" w:hAnsi="Comic Sans MS" w:cs="Arial Unicode MS"/>
      <w:b/>
      <w:bCs/>
      <w:color w:val="000000"/>
      <w:sz w:val="24"/>
      <w:szCs w:val="24"/>
      <w:u w:color="000000"/>
    </w:rPr>
  </w:style>
  <w:style w:type="paragraph" w:customStyle="1" w:styleId="Standard">
    <w:name w:val="Standard"/>
    <w:pPr>
      <w:widowControl w:val="0"/>
      <w:suppressAutoHyphens/>
    </w:pPr>
    <w:rPr>
      <w:rFonts w:eastAsia="Times New Roman"/>
      <w:color w:val="000000"/>
      <w:kern w:val="3"/>
      <w:sz w:val="24"/>
      <w:szCs w:val="24"/>
      <w:u w:color="000000"/>
    </w:rPr>
  </w:style>
  <w:style w:type="numbering" w:customStyle="1" w:styleId="Puces">
    <w:name w:val="Puces"/>
    <w:pPr>
      <w:numPr>
        <w:numId w:val="1"/>
      </w:numPr>
    </w:pPr>
  </w:style>
  <w:style w:type="paragraph" w:styleId="Pieddepage">
    <w:name w:val="footer"/>
    <w:basedOn w:val="Normal"/>
    <w:link w:val="PieddepageCar"/>
    <w:uiPriority w:val="99"/>
    <w:unhideWhenUsed/>
    <w:rsid w:val="00711106"/>
    <w:pPr>
      <w:tabs>
        <w:tab w:val="center" w:pos="4536"/>
        <w:tab w:val="right" w:pos="9072"/>
      </w:tabs>
    </w:pPr>
  </w:style>
  <w:style w:type="character" w:customStyle="1" w:styleId="PieddepageCar">
    <w:name w:val="Pied de page Car"/>
    <w:basedOn w:val="Policepardfaut"/>
    <w:link w:val="Pieddepage"/>
    <w:uiPriority w:val="99"/>
    <w:rsid w:val="00711106"/>
    <w:rPr>
      <w:rFonts w:ascii="Comic Sans MS" w:hAnsi="Comic Sans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Ghislain GAUTHIER</cp:lastModifiedBy>
  <cp:revision>2</cp:revision>
  <cp:lastPrinted>2019-01-17T16:20:00Z</cp:lastPrinted>
  <dcterms:created xsi:type="dcterms:W3CDTF">2019-01-17T16:31:00Z</dcterms:created>
  <dcterms:modified xsi:type="dcterms:W3CDTF">2019-01-17T16:31:00Z</dcterms:modified>
</cp:coreProperties>
</file>